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CDBB" w14:textId="4C348619" w:rsidR="00E34E10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1695CE13" w:rsidR="0086007F" w:rsidRPr="000E2F44" w:rsidRDefault="006F5CB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Measure</w:t>
            </w:r>
          </w:p>
        </w:tc>
        <w:tc>
          <w:tcPr>
            <w:tcW w:w="1984" w:type="dxa"/>
          </w:tcPr>
          <w:p w14:paraId="3E6359EE" w14:textId="4EB1AB2D" w:rsidR="0086007F" w:rsidRPr="000E2F44" w:rsidRDefault="006F5CB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7F73A090" w14:textId="77777777" w:rsidR="004052FD" w:rsidRPr="004052FD" w:rsidRDefault="004052FD" w:rsidP="00C64701">
      <w:pPr>
        <w:rPr>
          <w:rFonts w:ascii="Gilroy" w:hAnsi="Gilroy"/>
          <w:sz w:val="8"/>
          <w:szCs w:val="8"/>
        </w:rPr>
      </w:pPr>
    </w:p>
    <w:p w14:paraId="121774B0" w14:textId="160957A2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64701" w:rsidRPr="000E2F44" w14:paraId="574E223F" w14:textId="77777777" w:rsidTr="001D6A39">
        <w:tc>
          <w:tcPr>
            <w:tcW w:w="10065" w:type="dxa"/>
          </w:tcPr>
          <w:p w14:paraId="3B678BB2" w14:textId="4CAFF7A4" w:rsidR="004B7B3D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 xml:space="preserve">have </w:t>
            </w:r>
            <w:r w:rsidR="006F5CB6">
              <w:rPr>
                <w:rFonts w:ascii="Gilroy" w:hAnsi="Gilroy"/>
                <w:sz w:val="24"/>
                <w:szCs w:val="24"/>
              </w:rPr>
              <w:t xml:space="preserve">recently started </w:t>
            </w:r>
            <w:r w:rsidR="00C10DB6">
              <w:rPr>
                <w:rFonts w:ascii="Gilroy" w:hAnsi="Gilroy"/>
                <w:sz w:val="24"/>
                <w:szCs w:val="24"/>
              </w:rPr>
              <w:t>weekly Forest School lessons</w:t>
            </w:r>
            <w:r w:rsidR="006F5CB6">
              <w:rPr>
                <w:rFonts w:ascii="Gilroy" w:hAnsi="Gilroy"/>
                <w:sz w:val="24"/>
                <w:szCs w:val="24"/>
              </w:rPr>
              <w:t>.</w:t>
            </w:r>
          </w:p>
          <w:p w14:paraId="28E43EE8" w14:textId="0B3A88AF" w:rsidR="004B7B3D" w:rsidRPr="000E2F44" w:rsidRDefault="006F5CB6" w:rsidP="001B075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classes have completed maths lessons in measure.  There is some confusion in converting mm, cm &amp; m.</w:t>
            </w:r>
          </w:p>
        </w:tc>
      </w:tr>
    </w:tbl>
    <w:p w14:paraId="67C1DB6D" w14:textId="77777777" w:rsidR="004052FD" w:rsidRPr="004052FD" w:rsidRDefault="004052FD" w:rsidP="00C64701">
      <w:pPr>
        <w:rPr>
          <w:rFonts w:ascii="Gilroy" w:hAnsi="Gilroy"/>
          <w:sz w:val="8"/>
          <w:szCs w:val="8"/>
        </w:rPr>
      </w:pPr>
    </w:p>
    <w:p w14:paraId="5C1A74F2" w14:textId="11E3B5CB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023"/>
        <w:gridCol w:w="5042"/>
      </w:tblGrid>
      <w:tr w:rsidR="00ED7B44" w:rsidRPr="000E2F44" w14:paraId="6D4FA131" w14:textId="77777777" w:rsidTr="001D6A39">
        <w:trPr>
          <w:trHeight w:val="497"/>
        </w:trPr>
        <w:tc>
          <w:tcPr>
            <w:tcW w:w="5023" w:type="dxa"/>
          </w:tcPr>
          <w:p w14:paraId="42656EAA" w14:textId="77777777" w:rsidR="006F5CB6" w:rsidRDefault="008C2932" w:rsidP="004052FD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</w:t>
            </w:r>
            <w:r w:rsidR="004052FD">
              <w:rPr>
                <w:rFonts w:ascii="Gilroy" w:hAnsi="Gilroy"/>
                <w:sz w:val="24"/>
                <w:szCs w:val="24"/>
              </w:rPr>
              <w:t>work in a team</w:t>
            </w:r>
          </w:p>
          <w:p w14:paraId="7E055322" w14:textId="1AF3F9AB" w:rsidR="004052FD" w:rsidRPr="004052FD" w:rsidRDefault="004052FD" w:rsidP="004052FD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choose an appropriate way to measure</w:t>
            </w:r>
          </w:p>
        </w:tc>
        <w:tc>
          <w:tcPr>
            <w:tcW w:w="5042" w:type="dxa"/>
          </w:tcPr>
          <w:p w14:paraId="22B34755" w14:textId="77777777" w:rsidR="007310BB" w:rsidRDefault="001D6A39" w:rsidP="004052F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work in a team</w:t>
            </w:r>
          </w:p>
          <w:p w14:paraId="0C1A82DA" w14:textId="21C0BA2D" w:rsidR="001D6A39" w:rsidRDefault="001D6A39" w:rsidP="004052F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use tape measure, trundle wheel and/or metre stick to measure</w:t>
            </w:r>
          </w:p>
          <w:p w14:paraId="2D533CC8" w14:textId="7FA322B4" w:rsidR="001D6A39" w:rsidRPr="004052FD" w:rsidRDefault="001D6A39" w:rsidP="004052F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I will estimate the age of trees </w:t>
            </w:r>
          </w:p>
        </w:tc>
      </w:tr>
    </w:tbl>
    <w:p w14:paraId="458435A0" w14:textId="77777777" w:rsidR="004052FD" w:rsidRPr="004052FD" w:rsidRDefault="004052FD" w:rsidP="00C64701">
      <w:pPr>
        <w:rPr>
          <w:rFonts w:ascii="Gilroy" w:hAnsi="Gilroy"/>
          <w:sz w:val="8"/>
          <w:szCs w:val="8"/>
        </w:rPr>
      </w:pPr>
      <w:bookmarkStart w:id="0" w:name="_Hlk73638617"/>
    </w:p>
    <w:p w14:paraId="0B3EF245" w14:textId="130BC4A9" w:rsidR="004C13AB" w:rsidRPr="000E2F44" w:rsidRDefault="004C13AB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548"/>
        <w:gridCol w:w="3117"/>
        <w:gridCol w:w="3400"/>
      </w:tblGrid>
      <w:tr w:rsidR="004052FD" w:rsidRPr="000E2F44" w14:paraId="23834F05" w14:textId="77777777" w:rsidTr="001D6A39">
        <w:tc>
          <w:tcPr>
            <w:tcW w:w="3548" w:type="dxa"/>
          </w:tcPr>
          <w:p w14:paraId="4CA874B1" w14:textId="77777777" w:rsidR="004052FD" w:rsidRDefault="004052F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42F98316" w14:textId="77777777" w:rsidR="004052FD" w:rsidRDefault="004052F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47ADFA4A" w14:textId="77777777" w:rsidR="004052FD" w:rsidRDefault="004052F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Calculators</w:t>
            </w:r>
          </w:p>
          <w:p w14:paraId="08510310" w14:textId="714A6AE0" w:rsidR="004052FD" w:rsidRDefault="004052F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Pencils</w:t>
            </w:r>
          </w:p>
        </w:tc>
        <w:tc>
          <w:tcPr>
            <w:tcW w:w="3117" w:type="dxa"/>
          </w:tcPr>
          <w:p w14:paraId="6DB701CC" w14:textId="6EECAA5F" w:rsidR="004052FD" w:rsidRDefault="004052F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up/down</w:t>
            </w:r>
          </w:p>
          <w:p w14:paraId="2247924A" w14:textId="77777777" w:rsidR="004052FD" w:rsidRDefault="004052FD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Tape measure</w:t>
            </w:r>
          </w:p>
          <w:p w14:paraId="5B4EE873" w14:textId="77777777" w:rsidR="004052FD" w:rsidRDefault="004052FD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Trundle Wheel</w:t>
            </w:r>
          </w:p>
          <w:p w14:paraId="7CD41313" w14:textId="2EC945C6" w:rsidR="004052FD" w:rsidRDefault="004052FD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Recording sheets</w:t>
            </w:r>
          </w:p>
        </w:tc>
        <w:tc>
          <w:tcPr>
            <w:tcW w:w="3400" w:type="dxa"/>
          </w:tcPr>
          <w:p w14:paraId="3AD34414" w14:textId="4909176A" w:rsidR="004052FD" w:rsidRDefault="004052FD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String</w:t>
            </w:r>
          </w:p>
          <w:p w14:paraId="50678DC6" w14:textId="77777777" w:rsidR="004052FD" w:rsidRDefault="004052FD" w:rsidP="004052FD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Recording sheets</w:t>
            </w:r>
          </w:p>
          <w:p w14:paraId="1982965E" w14:textId="77777777" w:rsidR="004052FD" w:rsidRDefault="004052FD" w:rsidP="004052FD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Metre sticks</w:t>
            </w:r>
          </w:p>
          <w:p w14:paraId="630DCD21" w14:textId="260A3A66" w:rsidR="004052FD" w:rsidRPr="000E2F44" w:rsidRDefault="004052FD" w:rsidP="004052FD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Distance cards</w:t>
            </w:r>
          </w:p>
        </w:tc>
      </w:tr>
      <w:bookmarkEnd w:id="0"/>
    </w:tbl>
    <w:p w14:paraId="2A3D749E" w14:textId="77777777" w:rsidR="004052FD" w:rsidRPr="004052FD" w:rsidRDefault="004052FD" w:rsidP="00C64701">
      <w:pPr>
        <w:rPr>
          <w:rFonts w:ascii="Gilroy" w:hAnsi="Gilroy"/>
          <w:sz w:val="8"/>
          <w:szCs w:val="8"/>
        </w:rPr>
      </w:pPr>
    </w:p>
    <w:p w14:paraId="2F03A5CE" w14:textId="7C0A17BC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D7B44" w:rsidRPr="000E2F44" w14:paraId="29A4EA73" w14:textId="77777777" w:rsidTr="001D6A39">
        <w:tc>
          <w:tcPr>
            <w:tcW w:w="10206" w:type="dxa"/>
          </w:tcPr>
          <w:p w14:paraId="109116A9" w14:textId="5AE3D7EA" w:rsidR="006F5CB6" w:rsidRDefault="006F5CB6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Gather the children in a circle.  Go over the Forest school rules; 1 whistle = freeze; 2 whistles = to me; learn and have fun.</w:t>
            </w:r>
          </w:p>
          <w:p w14:paraId="291EF9B5" w14:textId="77777777" w:rsidR="006F5CB6" w:rsidRDefault="006F5CB6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Set up the boundary makers; field, gates, explain no one past the green shed.  </w:t>
            </w:r>
          </w:p>
          <w:p w14:paraId="0FBD3975" w14:textId="77777777" w:rsidR="004B7B3D" w:rsidRDefault="006F5CB6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Find someone taller than you – find someone shorter than you – find someone the same height as you.</w:t>
            </w:r>
          </w:p>
          <w:p w14:paraId="39FC931F" w14:textId="4EAAD1ED" w:rsidR="004052FD" w:rsidRPr="000E2F44" w:rsidRDefault="004052FD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After a few rounds, double up the groups and give out the estimating measure cards – ask the children to estimate the measurements listed and check their findings using the tape measures, metre sticks or trundle wheel.</w:t>
            </w:r>
          </w:p>
        </w:tc>
      </w:tr>
    </w:tbl>
    <w:p w14:paraId="786013CB" w14:textId="77777777" w:rsidR="004052FD" w:rsidRPr="004052FD" w:rsidRDefault="004052FD" w:rsidP="00C64701">
      <w:pPr>
        <w:rPr>
          <w:rFonts w:ascii="Gilroy" w:hAnsi="Gilroy"/>
          <w:sz w:val="8"/>
          <w:szCs w:val="8"/>
        </w:rPr>
      </w:pPr>
    </w:p>
    <w:p w14:paraId="718866F2" w14:textId="12AFABD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D7B44" w:rsidRPr="000E2F44" w14:paraId="39396B7A" w14:textId="77777777" w:rsidTr="001D6A39">
        <w:tc>
          <w:tcPr>
            <w:tcW w:w="10206" w:type="dxa"/>
          </w:tcPr>
          <w:p w14:paraId="5EEEE098" w14:textId="77777777" w:rsidR="00EF1BAE" w:rsidRDefault="00376CF7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How tall do you think the tree is? How can we measure the trees?</w:t>
            </w:r>
          </w:p>
          <w:p w14:paraId="3FF1937F" w14:textId="74724F4B" w:rsidR="00376CF7" w:rsidRDefault="00376CF7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how to use the pencil and buddy method to measure trees - </w:t>
            </w:r>
          </w:p>
          <w:p w14:paraId="3C55DA40" w14:textId="1856F176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The children need to work in pairs or small groups.</w:t>
            </w:r>
          </w:p>
          <w:p w14:paraId="44A2A736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Child 1 stands with their back against the tree trunk (fig.1).</w:t>
            </w:r>
          </w:p>
          <w:p w14:paraId="2EF593EA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 xml:space="preserve">• Child 2 faces their </w:t>
            </w:r>
            <w:proofErr w:type="gramStart"/>
            <w:r w:rsidRPr="00376CF7">
              <w:rPr>
                <w:rFonts w:ascii="Gilroy" w:hAnsi="Gilroy"/>
                <w:sz w:val="24"/>
                <w:szCs w:val="24"/>
              </w:rPr>
              <w:t>partner, but</w:t>
            </w:r>
            <w:proofErr w:type="gramEnd"/>
            <w:r w:rsidRPr="00376CF7">
              <w:rPr>
                <w:rFonts w:ascii="Gilroy" w:hAnsi="Gilroy"/>
                <w:sz w:val="24"/>
                <w:szCs w:val="24"/>
              </w:rPr>
              <w:t xml:space="preserve"> moves back a distance.</w:t>
            </w:r>
          </w:p>
          <w:p w14:paraId="1BA7FAC6" w14:textId="3D943F05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Child 2 closes one eye and holds a pencil between thumb and first finger, vertically at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arm’s length, so that the point is level with the top of the tree, and their thumb is level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with the base of the tree.</w:t>
            </w:r>
          </w:p>
          <w:p w14:paraId="04A5ADBB" w14:textId="44253B9F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Child 2 stays in the same place and turns their hand until the pencil is horizontal,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keeping their thumb level with the base of the tree.</w:t>
            </w:r>
          </w:p>
          <w:p w14:paraId="107BBD2E" w14:textId="4B11FB40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Child 1 walks away from the tree to the side so that they appear to be walking along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their partner’s pencil.</w:t>
            </w:r>
          </w:p>
          <w:p w14:paraId="76153BCA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• When they reach the end of the pencil, Child 1 should stop (fig.3).</w:t>
            </w:r>
          </w:p>
          <w:p w14:paraId="4CA432AE" w14:textId="57173CFC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lastRenderedPageBreak/>
              <w:t>• Now, using a tape measure, Child 2 or another member of the group measures the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distance between Child 1 and the tree. This measurement is approximately the same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as the height of the tree.</w:t>
            </w:r>
          </w:p>
          <w:p w14:paraId="52391819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Demonstrate this a few times with volunteers, then ask the children to work in</w:t>
            </w:r>
          </w:p>
          <w:p w14:paraId="7FC65740" w14:textId="77777777" w:rsid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 xml:space="preserve">small groups to estimate and measure the height of </w:t>
            </w:r>
            <w:proofErr w:type="gramStart"/>
            <w:r w:rsidRPr="00376CF7">
              <w:rPr>
                <w:rFonts w:ascii="Gilroy" w:hAnsi="Gilroy"/>
                <w:sz w:val="24"/>
                <w:szCs w:val="24"/>
              </w:rPr>
              <w:t>a number of</w:t>
            </w:r>
            <w:proofErr w:type="gramEnd"/>
            <w:r w:rsidRPr="00376CF7">
              <w:rPr>
                <w:rFonts w:ascii="Gilroy" w:hAnsi="Gilroy"/>
                <w:sz w:val="24"/>
                <w:szCs w:val="24"/>
              </w:rPr>
              <w:t xml:space="preserve"> trees.</w:t>
            </w:r>
          </w:p>
          <w:p w14:paraId="18E235DF" w14:textId="5E550CA6" w:rsidR="00376CF7" w:rsidRPr="000E2F44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D336BC" wp14:editId="04EF8631">
                  <wp:extent cx="3316638" cy="464820"/>
                  <wp:effectExtent l="0" t="0" r="0" b="0"/>
                  <wp:docPr id="1279120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1206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798" cy="47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CBD7E" w14:textId="77777777" w:rsidR="004052FD" w:rsidRPr="004052FD" w:rsidRDefault="004052FD" w:rsidP="0086007F">
      <w:pPr>
        <w:rPr>
          <w:rFonts w:ascii="Gilroy" w:hAnsi="Gilroy"/>
          <w:sz w:val="8"/>
          <w:szCs w:val="8"/>
        </w:rPr>
      </w:pPr>
    </w:p>
    <w:p w14:paraId="3AA4FD86" w14:textId="18E457E5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6007F" w:rsidRPr="000E2F44" w14:paraId="784009A8" w14:textId="77777777" w:rsidTr="001D6A39">
        <w:tc>
          <w:tcPr>
            <w:tcW w:w="10206" w:type="dxa"/>
          </w:tcPr>
          <w:p w14:paraId="199C894C" w14:textId="77777777" w:rsid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We might know the height but how can we tell the age of a tree?</w:t>
            </w:r>
          </w:p>
          <w:p w14:paraId="44061438" w14:textId="431E623D" w:rsid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You can tell how old a tree is by counting the rings on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>the inside of a trunk after the tree has been felled. Each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Pr="00376CF7">
              <w:rPr>
                <w:rFonts w:ascii="Gilroy" w:hAnsi="Gilroy"/>
                <w:sz w:val="24"/>
                <w:szCs w:val="24"/>
              </w:rPr>
              <w:t xml:space="preserve">ring represents a year of its growth. </w:t>
            </w:r>
          </w:p>
          <w:p w14:paraId="0ED7200B" w14:textId="77777777" w:rsid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</w:p>
          <w:p w14:paraId="67F25E7A" w14:textId="0B76F1F0" w:rsid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Without cutting it down we can tell how old the trees are – </w:t>
            </w:r>
          </w:p>
          <w:p w14:paraId="332670CE" w14:textId="77777777" w:rsidR="004052FD" w:rsidRPr="004052FD" w:rsidRDefault="004052FD" w:rsidP="004052FD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>1. Divide the children into small groups and give out</w:t>
            </w:r>
          </w:p>
          <w:p w14:paraId="0429CF0C" w14:textId="64C26407" w:rsidR="004052FD" w:rsidRDefault="004052FD" w:rsidP="004052FD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>one ‘tree age’ sheet to each group.</w:t>
            </w:r>
          </w:p>
          <w:p w14:paraId="21F94587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2. Choose a tree.</w:t>
            </w:r>
          </w:p>
          <w:p w14:paraId="72ED1552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3. Estimate (guess) how old it might be.</w:t>
            </w:r>
          </w:p>
          <w:p w14:paraId="0C57DD5C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4. One member of the group measures 1.5 metres up the</w:t>
            </w:r>
          </w:p>
          <w:p w14:paraId="21D3BB8F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trunk (with a tape measure) and another person marks the</w:t>
            </w:r>
          </w:p>
          <w:p w14:paraId="52CF2C13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spot by putting their finger on it.</w:t>
            </w:r>
          </w:p>
          <w:p w14:paraId="70DAA78C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5. Someone else uses the tape measure to measure the girth</w:t>
            </w:r>
          </w:p>
          <w:p w14:paraId="0F5A8D1D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of the tree in cm (all the way around its trunk) at that height.</w:t>
            </w:r>
          </w:p>
          <w:p w14:paraId="1FE450B4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6. Now the groups can use a calculator to divide the girth measurement by 2.5</w:t>
            </w:r>
          </w:p>
          <w:p w14:paraId="14F8C197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 xml:space="preserve"> which will give you the approximate age in years.</w:t>
            </w:r>
          </w:p>
          <w:p w14:paraId="26277A2D" w14:textId="77777777" w:rsidR="00376CF7" w:rsidRPr="00376CF7" w:rsidRDefault="00376CF7" w:rsidP="00376CF7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>7. Was the children’s estimation of age anywhere near the actual age?</w:t>
            </w:r>
          </w:p>
          <w:p w14:paraId="4624DAF0" w14:textId="77777777" w:rsidR="004052FD" w:rsidRPr="004052FD" w:rsidRDefault="00376CF7" w:rsidP="004052FD">
            <w:pPr>
              <w:rPr>
                <w:rFonts w:ascii="Gilroy" w:hAnsi="Gilroy"/>
                <w:sz w:val="24"/>
                <w:szCs w:val="24"/>
              </w:rPr>
            </w:pPr>
            <w:r w:rsidRPr="00376CF7">
              <w:rPr>
                <w:rFonts w:ascii="Gilroy" w:hAnsi="Gilroy"/>
                <w:sz w:val="24"/>
                <w:szCs w:val="24"/>
              </w:rPr>
              <w:t xml:space="preserve">8. Each group can estimate </w:t>
            </w:r>
            <w:r w:rsidR="004052FD" w:rsidRPr="004052FD">
              <w:rPr>
                <w:rFonts w:ascii="Gilroy" w:hAnsi="Gilroy"/>
                <w:sz w:val="24"/>
                <w:szCs w:val="24"/>
              </w:rPr>
              <w:t>and measure more trees, seeing if their estimates</w:t>
            </w:r>
          </w:p>
          <w:p w14:paraId="4ADC72A7" w14:textId="77777777" w:rsidR="00376CF7" w:rsidRDefault="004052FD" w:rsidP="00376CF7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 xml:space="preserve"> get better with practice.</w:t>
            </w:r>
          </w:p>
          <w:p w14:paraId="2ED7B294" w14:textId="77777777" w:rsidR="001D6A39" w:rsidRDefault="001D6A39" w:rsidP="00376CF7">
            <w:pPr>
              <w:rPr>
                <w:rFonts w:ascii="Gilroy" w:hAnsi="Gilroy"/>
                <w:sz w:val="24"/>
                <w:szCs w:val="24"/>
              </w:rPr>
            </w:pPr>
          </w:p>
          <w:p w14:paraId="23EA9D00" w14:textId="77777777" w:rsidR="001D6A39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Bring the groups back together and discuss their findings - </w:t>
            </w:r>
          </w:p>
          <w:p w14:paraId="7A95DC8B" w14:textId="77777777" w:rsidR="001D6A39" w:rsidRPr="004052FD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>• In which year were the trees planted?</w:t>
            </w:r>
          </w:p>
          <w:p w14:paraId="623AAEA4" w14:textId="77777777" w:rsidR="001D6A39" w:rsidRPr="004052FD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 xml:space="preserve">• Are </w:t>
            </w:r>
            <w:proofErr w:type="gramStart"/>
            <w:r w:rsidRPr="004052FD">
              <w:rPr>
                <w:rFonts w:ascii="Gilroy" w:hAnsi="Gilroy"/>
                <w:sz w:val="24"/>
                <w:szCs w:val="24"/>
              </w:rPr>
              <w:t>all of</w:t>
            </w:r>
            <w:proofErr w:type="gramEnd"/>
            <w:r w:rsidRPr="004052FD">
              <w:rPr>
                <w:rFonts w:ascii="Gilroy" w:hAnsi="Gilroy"/>
                <w:sz w:val="24"/>
                <w:szCs w:val="24"/>
              </w:rPr>
              <w:t xml:space="preserve"> the trees in the area the same age?</w:t>
            </w:r>
          </w:p>
          <w:p w14:paraId="004AA405" w14:textId="77777777" w:rsidR="001D6A39" w:rsidRPr="004052FD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>• Can the children see any trees that are obviously</w:t>
            </w:r>
          </w:p>
          <w:p w14:paraId="669EE18F" w14:textId="4A831082" w:rsidR="001D6A39" w:rsidRPr="000E2F44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 w:rsidRPr="004052FD">
              <w:rPr>
                <w:rFonts w:ascii="Gilroy" w:hAnsi="Gilroy"/>
                <w:sz w:val="24"/>
                <w:szCs w:val="24"/>
              </w:rPr>
              <w:t>much younger or older? How can they tell?</w:t>
            </w:r>
            <w:r>
              <w:rPr>
                <w:rFonts w:ascii="Gilroy" w:hAnsi="Gilroy"/>
                <w:sz w:val="24"/>
                <w:szCs w:val="24"/>
              </w:rPr>
              <w:t xml:space="preserve">    </w:t>
            </w:r>
          </w:p>
        </w:tc>
      </w:tr>
    </w:tbl>
    <w:p w14:paraId="3DACC99F" w14:textId="77777777" w:rsidR="004052FD" w:rsidRPr="004052FD" w:rsidRDefault="004052FD" w:rsidP="0086007F">
      <w:pPr>
        <w:rPr>
          <w:rFonts w:ascii="Gilroy" w:hAnsi="Gilroy"/>
          <w:sz w:val="8"/>
          <w:szCs w:val="8"/>
        </w:rPr>
      </w:pPr>
    </w:p>
    <w:p w14:paraId="08385472" w14:textId="02CE4153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6007F" w:rsidRPr="000E2F44" w14:paraId="19E2967D" w14:textId="77777777" w:rsidTr="001D6A39">
        <w:tc>
          <w:tcPr>
            <w:tcW w:w="10206" w:type="dxa"/>
          </w:tcPr>
          <w:p w14:paraId="3B61693E" w14:textId="77777777" w:rsidR="001D6A39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230F471E" w14:textId="77777777" w:rsidR="001D6A39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1C280A57" w:rsidR="00555E70" w:rsidRPr="000E2F44" w:rsidRDefault="001D6A39" w:rsidP="001D6A3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50CBD831" w14:textId="77777777" w:rsidR="004052FD" w:rsidRPr="004052FD" w:rsidRDefault="004052FD" w:rsidP="0086007F">
      <w:pPr>
        <w:rPr>
          <w:rFonts w:ascii="Gilroy" w:hAnsi="Gilroy"/>
          <w:sz w:val="8"/>
          <w:szCs w:val="8"/>
        </w:rPr>
      </w:pPr>
    </w:p>
    <w:p w14:paraId="29D22141" w14:textId="716F2ADA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6007F" w:rsidRPr="000E2F44" w14:paraId="6089A0AE" w14:textId="77777777" w:rsidTr="001D6A39">
        <w:tc>
          <w:tcPr>
            <w:tcW w:w="10206" w:type="dxa"/>
          </w:tcPr>
          <w:p w14:paraId="7D527CC6" w14:textId="11767BAC" w:rsidR="004052FD" w:rsidRPr="000E2F44" w:rsidRDefault="004052FD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097930E8" w14:textId="77777777" w:rsidR="004052FD" w:rsidRPr="004052FD" w:rsidRDefault="004052FD" w:rsidP="0086007F">
      <w:pPr>
        <w:rPr>
          <w:rFonts w:ascii="Gilroy" w:hAnsi="Gilroy"/>
          <w:sz w:val="10"/>
          <w:szCs w:val="10"/>
        </w:rPr>
      </w:pPr>
    </w:p>
    <w:p w14:paraId="06338189" w14:textId="3731B854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86007F" w:rsidRPr="000E2F44" w14:paraId="0B0A9E5E" w14:textId="77777777" w:rsidTr="001D6A39">
        <w:tc>
          <w:tcPr>
            <w:tcW w:w="10348" w:type="dxa"/>
          </w:tcPr>
          <w:p w14:paraId="00FD2895" w14:textId="62973316" w:rsidR="004052FD" w:rsidRPr="000E2F44" w:rsidRDefault="004052FD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1D6A39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A78CF"/>
    <w:rsid w:val="001A7F0D"/>
    <w:rsid w:val="001B0757"/>
    <w:rsid w:val="001D6A39"/>
    <w:rsid w:val="00226108"/>
    <w:rsid w:val="002E2C20"/>
    <w:rsid w:val="003017A5"/>
    <w:rsid w:val="00317669"/>
    <w:rsid w:val="003316E4"/>
    <w:rsid w:val="00376CF7"/>
    <w:rsid w:val="003A7612"/>
    <w:rsid w:val="003B3052"/>
    <w:rsid w:val="003F3AD6"/>
    <w:rsid w:val="004018F2"/>
    <w:rsid w:val="004052FD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6F5CB6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C2B5D"/>
    <w:rsid w:val="00C10DB6"/>
    <w:rsid w:val="00C64701"/>
    <w:rsid w:val="00C816E1"/>
    <w:rsid w:val="00CE3D02"/>
    <w:rsid w:val="00D13620"/>
    <w:rsid w:val="00D53273"/>
    <w:rsid w:val="00D54D23"/>
    <w:rsid w:val="00DC6E67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2</cp:revision>
  <cp:lastPrinted>2025-03-04T23:37:00Z</cp:lastPrinted>
  <dcterms:created xsi:type="dcterms:W3CDTF">2026-03-09T23:59:00Z</dcterms:created>
  <dcterms:modified xsi:type="dcterms:W3CDTF">2026-03-09T23:59:00Z</dcterms:modified>
</cp:coreProperties>
</file>